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DD6D3E" w14:textId="77777777" w:rsidR="005301D9" w:rsidRDefault="00DE18B8" w:rsidP="000E21CF">
      <w:pPr>
        <w:jc w:val="center"/>
      </w:pPr>
    </w:p>
    <w:p w14:paraId="4CB4D231" w14:textId="77777777" w:rsidR="000E21CF" w:rsidRDefault="000E21CF" w:rsidP="000E21CF">
      <w:pPr>
        <w:jc w:val="center"/>
      </w:pPr>
    </w:p>
    <w:p w14:paraId="4FF08681" w14:textId="77777777" w:rsidR="000E21CF" w:rsidRDefault="000E21CF" w:rsidP="000E21CF">
      <w:pPr>
        <w:jc w:val="center"/>
      </w:pPr>
    </w:p>
    <w:p w14:paraId="5964E17F" w14:textId="77777777" w:rsidR="000E21CF" w:rsidRDefault="000E21CF" w:rsidP="000E21CF">
      <w:pPr>
        <w:jc w:val="center"/>
      </w:pPr>
    </w:p>
    <w:p w14:paraId="0E2BAECA" w14:textId="77777777" w:rsidR="000E21CF" w:rsidRDefault="000E21CF" w:rsidP="000E21CF">
      <w:pPr>
        <w:jc w:val="center"/>
      </w:pPr>
    </w:p>
    <w:p w14:paraId="3CDD3334" w14:textId="77777777" w:rsidR="000E21CF" w:rsidRDefault="000E21CF" w:rsidP="000E21CF">
      <w:pPr>
        <w:jc w:val="center"/>
      </w:pPr>
    </w:p>
    <w:p w14:paraId="0D023819" w14:textId="77777777" w:rsidR="000E21CF" w:rsidRDefault="007E2BED" w:rsidP="000E21CF">
      <w:pPr>
        <w:jc w:val="center"/>
        <w:rPr>
          <w:rFonts w:ascii="Times New Roman" w:hAnsi="Times New Roman" w:cs="Times New Roman"/>
          <w:sz w:val="24"/>
          <w:szCs w:val="24"/>
        </w:rPr>
      </w:pPr>
      <w:r>
        <w:rPr>
          <w:rFonts w:ascii="Times New Roman" w:hAnsi="Times New Roman" w:cs="Times New Roman"/>
          <w:sz w:val="24"/>
          <w:szCs w:val="24"/>
        </w:rPr>
        <w:t>Criminal Courts and Professional Ethics</w:t>
      </w:r>
    </w:p>
    <w:p w14:paraId="292EC145" w14:textId="77777777" w:rsidR="007E2BED" w:rsidRDefault="007E2BED" w:rsidP="000E21CF">
      <w:pPr>
        <w:jc w:val="center"/>
        <w:rPr>
          <w:rFonts w:ascii="Times New Roman" w:hAnsi="Times New Roman" w:cs="Times New Roman"/>
          <w:sz w:val="24"/>
          <w:szCs w:val="24"/>
        </w:rPr>
      </w:pPr>
    </w:p>
    <w:p w14:paraId="01B931A9" w14:textId="77777777" w:rsidR="007E2BED" w:rsidRDefault="007E2BED" w:rsidP="000E21CF">
      <w:pPr>
        <w:jc w:val="center"/>
        <w:rPr>
          <w:rFonts w:ascii="Times New Roman" w:hAnsi="Times New Roman" w:cs="Times New Roman"/>
          <w:sz w:val="24"/>
          <w:szCs w:val="24"/>
        </w:rPr>
      </w:pPr>
    </w:p>
    <w:p w14:paraId="38B2DFB6" w14:textId="77777777" w:rsidR="007E2BED" w:rsidRDefault="007E2BED" w:rsidP="000E21CF">
      <w:pPr>
        <w:jc w:val="center"/>
        <w:rPr>
          <w:rFonts w:ascii="Times New Roman" w:hAnsi="Times New Roman" w:cs="Times New Roman"/>
          <w:sz w:val="24"/>
          <w:szCs w:val="24"/>
        </w:rPr>
      </w:pPr>
    </w:p>
    <w:p w14:paraId="413D0F41" w14:textId="77777777" w:rsidR="007E2BED" w:rsidRDefault="007E2BED" w:rsidP="000E21CF">
      <w:pPr>
        <w:jc w:val="center"/>
        <w:rPr>
          <w:rFonts w:ascii="Times New Roman" w:hAnsi="Times New Roman" w:cs="Times New Roman"/>
          <w:sz w:val="24"/>
          <w:szCs w:val="24"/>
        </w:rPr>
      </w:pPr>
    </w:p>
    <w:p w14:paraId="5E7EFBB1" w14:textId="77777777" w:rsidR="007E2BED" w:rsidRDefault="007E2BED" w:rsidP="000E21CF">
      <w:pPr>
        <w:jc w:val="center"/>
        <w:rPr>
          <w:rFonts w:ascii="Times New Roman" w:hAnsi="Times New Roman" w:cs="Times New Roman"/>
          <w:sz w:val="24"/>
          <w:szCs w:val="24"/>
        </w:rPr>
      </w:pPr>
    </w:p>
    <w:p w14:paraId="488A8F4A" w14:textId="77777777" w:rsidR="007E2BED" w:rsidRDefault="007E2BED" w:rsidP="000E21CF">
      <w:pPr>
        <w:jc w:val="center"/>
        <w:rPr>
          <w:rFonts w:ascii="Times New Roman" w:hAnsi="Times New Roman" w:cs="Times New Roman"/>
          <w:sz w:val="24"/>
          <w:szCs w:val="24"/>
        </w:rPr>
      </w:pPr>
      <w:r>
        <w:rPr>
          <w:rFonts w:ascii="Times New Roman" w:hAnsi="Times New Roman" w:cs="Times New Roman"/>
          <w:sz w:val="24"/>
          <w:szCs w:val="24"/>
        </w:rPr>
        <w:t>Name of the Student</w:t>
      </w:r>
    </w:p>
    <w:p w14:paraId="06A7E97F" w14:textId="77777777" w:rsidR="007E2BED" w:rsidRDefault="007E2BED" w:rsidP="000E21CF">
      <w:pPr>
        <w:jc w:val="center"/>
        <w:rPr>
          <w:rFonts w:ascii="Times New Roman" w:hAnsi="Times New Roman" w:cs="Times New Roman"/>
          <w:sz w:val="24"/>
          <w:szCs w:val="24"/>
        </w:rPr>
      </w:pPr>
      <w:r>
        <w:rPr>
          <w:rFonts w:ascii="Times New Roman" w:hAnsi="Times New Roman" w:cs="Times New Roman"/>
          <w:sz w:val="24"/>
          <w:szCs w:val="24"/>
        </w:rPr>
        <w:t>Professor</w:t>
      </w:r>
    </w:p>
    <w:p w14:paraId="72B557EB" w14:textId="77777777" w:rsidR="007E2BED" w:rsidRDefault="007E2BED" w:rsidP="000E21CF">
      <w:pPr>
        <w:jc w:val="center"/>
        <w:rPr>
          <w:rFonts w:ascii="Times New Roman" w:hAnsi="Times New Roman" w:cs="Times New Roman"/>
          <w:sz w:val="24"/>
          <w:szCs w:val="24"/>
        </w:rPr>
      </w:pPr>
      <w:r>
        <w:rPr>
          <w:rFonts w:ascii="Times New Roman" w:hAnsi="Times New Roman" w:cs="Times New Roman"/>
          <w:sz w:val="24"/>
          <w:szCs w:val="24"/>
        </w:rPr>
        <w:t>Course</w:t>
      </w:r>
    </w:p>
    <w:p w14:paraId="31FAC7B6" w14:textId="77777777" w:rsidR="007E2BED" w:rsidRDefault="007E2BED" w:rsidP="000E21CF">
      <w:pPr>
        <w:jc w:val="center"/>
        <w:rPr>
          <w:rFonts w:ascii="Times New Roman" w:hAnsi="Times New Roman" w:cs="Times New Roman"/>
          <w:sz w:val="24"/>
          <w:szCs w:val="24"/>
        </w:rPr>
      </w:pPr>
      <w:r>
        <w:rPr>
          <w:rFonts w:ascii="Times New Roman" w:hAnsi="Times New Roman" w:cs="Times New Roman"/>
          <w:sz w:val="24"/>
          <w:szCs w:val="24"/>
        </w:rPr>
        <w:t>Date</w:t>
      </w:r>
    </w:p>
    <w:p w14:paraId="7CCC55F9" w14:textId="77777777" w:rsidR="007E2BED" w:rsidRDefault="007E2BED">
      <w:pPr>
        <w:rPr>
          <w:rFonts w:ascii="Times New Roman" w:hAnsi="Times New Roman" w:cs="Times New Roman"/>
          <w:sz w:val="24"/>
          <w:szCs w:val="24"/>
        </w:rPr>
      </w:pPr>
      <w:r>
        <w:rPr>
          <w:rFonts w:ascii="Times New Roman" w:hAnsi="Times New Roman" w:cs="Times New Roman"/>
          <w:sz w:val="24"/>
          <w:szCs w:val="24"/>
        </w:rPr>
        <w:br w:type="page"/>
      </w:r>
    </w:p>
    <w:p w14:paraId="460B2EE3" w14:textId="77777777" w:rsidR="00AB430C" w:rsidRPr="000322F5" w:rsidRDefault="00B53DE7" w:rsidP="00AB430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0322F5">
        <w:rPr>
          <w:rFonts w:ascii="Times New Roman" w:hAnsi="Times New Roman" w:cs="Times New Roman"/>
          <w:sz w:val="24"/>
          <w:szCs w:val="24"/>
        </w:rPr>
        <w:tab/>
      </w:r>
      <w:r w:rsidR="005A149A" w:rsidRPr="000322F5">
        <w:rPr>
          <w:rFonts w:ascii="Times New Roman" w:hAnsi="Times New Roman" w:cs="Times New Roman"/>
          <w:sz w:val="24"/>
          <w:szCs w:val="24"/>
        </w:rPr>
        <w:t xml:space="preserve"> </w:t>
      </w:r>
      <w:r w:rsidR="00AB430C" w:rsidRPr="000322F5">
        <w:rPr>
          <w:rFonts w:ascii="Times New Roman" w:hAnsi="Times New Roman" w:cs="Times New Roman"/>
          <w:sz w:val="24"/>
          <w:szCs w:val="24"/>
        </w:rPr>
        <w:t>The Sixth Amendment provides criminal defendants the right to a lawyer, right to an impartial jury, to a public trial without unimportant delay, and right to know the accusers and the kind of charges and evidence against a defender. The sixth amendment is important because it provides the defendant with the right to have a legal defense. More so, it is important because ensure that the accused person is innocent until proven guilty. On the other hand, the fourteenth amendment states that it is fo</w:t>
      </w:r>
      <w:r w:rsidR="000322F5">
        <w:rPr>
          <w:rFonts w:ascii="Times New Roman" w:hAnsi="Times New Roman" w:cs="Times New Roman"/>
          <w:sz w:val="24"/>
          <w:szCs w:val="24"/>
        </w:rPr>
        <w:t>rbidden to deprive any person</w:t>
      </w:r>
      <w:r w:rsidR="00AB430C" w:rsidRPr="000322F5">
        <w:rPr>
          <w:rFonts w:ascii="Times New Roman" w:hAnsi="Times New Roman" w:cs="Times New Roman"/>
          <w:sz w:val="24"/>
          <w:szCs w:val="24"/>
        </w:rPr>
        <w:t xml:space="preserve"> life, liberty, or property without adhering to the due procedure and process of the law</w:t>
      </w:r>
      <w:r w:rsidR="000322F5">
        <w:rPr>
          <w:rFonts w:ascii="Times New Roman" w:hAnsi="Times New Roman" w:cs="Times New Roman"/>
          <w:sz w:val="24"/>
          <w:szCs w:val="24"/>
        </w:rPr>
        <w:t>. (Primus, 2017). Ther</w:t>
      </w:r>
      <w:r w:rsidR="00AB430C" w:rsidRPr="000322F5">
        <w:rPr>
          <w:rFonts w:ascii="Times New Roman" w:hAnsi="Times New Roman" w:cs="Times New Roman"/>
          <w:sz w:val="24"/>
          <w:szCs w:val="24"/>
        </w:rPr>
        <w:t>e</w:t>
      </w:r>
      <w:r w:rsidR="000322F5">
        <w:rPr>
          <w:rFonts w:ascii="Times New Roman" w:hAnsi="Times New Roman" w:cs="Times New Roman"/>
          <w:sz w:val="24"/>
          <w:szCs w:val="24"/>
        </w:rPr>
        <w:t xml:space="preserve">fore, in regard to </w:t>
      </w:r>
      <w:r w:rsidR="008229AF">
        <w:rPr>
          <w:rFonts w:ascii="Times New Roman" w:hAnsi="Times New Roman" w:cs="Times New Roman"/>
          <w:sz w:val="24"/>
          <w:szCs w:val="24"/>
        </w:rPr>
        <w:t xml:space="preserve">both the Sixth and Fourteenth Amendments, it </w:t>
      </w:r>
      <w:r w:rsidR="00DE32A8">
        <w:rPr>
          <w:rFonts w:ascii="Times New Roman" w:hAnsi="Times New Roman" w:cs="Times New Roman"/>
          <w:sz w:val="24"/>
          <w:szCs w:val="24"/>
        </w:rPr>
        <w:t xml:space="preserve">is </w:t>
      </w:r>
      <w:r w:rsidR="00DE32A8" w:rsidRPr="000322F5">
        <w:rPr>
          <w:rFonts w:ascii="Times New Roman" w:hAnsi="Times New Roman" w:cs="Times New Roman"/>
          <w:sz w:val="24"/>
          <w:szCs w:val="24"/>
        </w:rPr>
        <w:t>unlawful</w:t>
      </w:r>
      <w:r w:rsidR="00AB430C" w:rsidRPr="000322F5">
        <w:rPr>
          <w:rFonts w:ascii="Times New Roman" w:hAnsi="Times New Roman" w:cs="Times New Roman"/>
          <w:sz w:val="24"/>
          <w:szCs w:val="24"/>
        </w:rPr>
        <w:t xml:space="preserve"> to sentence </w:t>
      </w:r>
      <w:r w:rsidR="008229AF">
        <w:rPr>
          <w:rFonts w:ascii="Times New Roman" w:hAnsi="Times New Roman" w:cs="Times New Roman"/>
          <w:sz w:val="24"/>
          <w:szCs w:val="24"/>
        </w:rPr>
        <w:t>a defendant</w:t>
      </w:r>
      <w:r w:rsidR="00AB430C" w:rsidRPr="000322F5">
        <w:rPr>
          <w:rFonts w:ascii="Times New Roman" w:hAnsi="Times New Roman" w:cs="Times New Roman"/>
          <w:sz w:val="24"/>
          <w:szCs w:val="24"/>
        </w:rPr>
        <w:t xml:space="preserve"> without having to follow the due process of the law. This paper aims to discuss a case study pertaining to the right to an attorney. </w:t>
      </w:r>
    </w:p>
    <w:p w14:paraId="36129701" w14:textId="77777777" w:rsidR="00AB430C" w:rsidRPr="000322F5" w:rsidRDefault="00AB430C" w:rsidP="00AB430C">
      <w:pPr>
        <w:spacing w:line="480" w:lineRule="auto"/>
        <w:rPr>
          <w:rFonts w:ascii="Times New Roman" w:hAnsi="Times New Roman" w:cs="Times New Roman"/>
          <w:sz w:val="24"/>
          <w:szCs w:val="24"/>
        </w:rPr>
      </w:pPr>
      <w:r w:rsidRPr="000322F5">
        <w:rPr>
          <w:rFonts w:ascii="Times New Roman" w:hAnsi="Times New Roman" w:cs="Times New Roman"/>
          <w:sz w:val="24"/>
          <w:szCs w:val="24"/>
        </w:rPr>
        <w:t>           The case to consider is </w:t>
      </w:r>
      <w:r w:rsidRPr="000322F5">
        <w:rPr>
          <w:rFonts w:ascii="Times New Roman" w:hAnsi="Times New Roman" w:cs="Times New Roman"/>
          <w:i/>
          <w:iCs/>
          <w:sz w:val="24"/>
          <w:szCs w:val="24"/>
        </w:rPr>
        <w:t>Gideon v. Wainwright</w:t>
      </w:r>
      <w:r w:rsidRPr="000322F5">
        <w:rPr>
          <w:rFonts w:ascii="Times New Roman" w:hAnsi="Times New Roman" w:cs="Times New Roman"/>
          <w:sz w:val="24"/>
          <w:szCs w:val="24"/>
        </w:rPr>
        <w:t>. Clarence Earl Gideon was charged with breaking and intruding with an intent to commit a crime that the Florida Law states that it is a felony. This was in the year 1963. Gideon appeared before the court without an attorney. Thus at his first trial, he requested the court to provide him with an attorney but his plea was denied. It happened that the prosecutors provided witnesses who saw Gideon at the time of breaking and intruding but they never saw him committing a crime. Gideon cross-examined the witnesses but he never saw a point of contradiction or a way to dispute their credibility. Thus, he was found guilty by the jury and he was sentenced to a period of five years in prison (Moskowitz, 2019).</w:t>
      </w:r>
    </w:p>
    <w:p w14:paraId="03002393" w14:textId="77777777" w:rsidR="00B77406" w:rsidRDefault="00AB430C" w:rsidP="00AB430C">
      <w:pPr>
        <w:spacing w:line="480" w:lineRule="auto"/>
        <w:rPr>
          <w:rFonts w:ascii="Times New Roman" w:hAnsi="Times New Roman" w:cs="Times New Roman"/>
          <w:sz w:val="24"/>
          <w:szCs w:val="24"/>
        </w:rPr>
      </w:pPr>
      <w:r w:rsidRPr="000322F5">
        <w:rPr>
          <w:rFonts w:ascii="Times New Roman" w:hAnsi="Times New Roman" w:cs="Times New Roman"/>
          <w:sz w:val="24"/>
          <w:szCs w:val="24"/>
        </w:rPr>
        <w:t>           Gideon petitioned for a </w:t>
      </w:r>
      <w:r w:rsidRPr="000322F5">
        <w:rPr>
          <w:rFonts w:ascii="Times New Roman" w:hAnsi="Times New Roman" w:cs="Times New Roman"/>
          <w:i/>
          <w:iCs/>
          <w:sz w:val="24"/>
          <w:szCs w:val="24"/>
        </w:rPr>
        <w:t>writ</w:t>
      </w:r>
      <w:r w:rsidRPr="000322F5">
        <w:rPr>
          <w:rFonts w:ascii="Times New Roman" w:hAnsi="Times New Roman" w:cs="Times New Roman"/>
          <w:sz w:val="24"/>
          <w:szCs w:val="24"/>
        </w:rPr>
        <w:t> of </w:t>
      </w:r>
      <w:r w:rsidRPr="000322F5">
        <w:rPr>
          <w:rFonts w:ascii="Times New Roman" w:hAnsi="Times New Roman" w:cs="Times New Roman"/>
          <w:i/>
          <w:iCs/>
          <w:sz w:val="24"/>
          <w:szCs w:val="24"/>
        </w:rPr>
        <w:t>habeas corpus</w:t>
      </w:r>
      <w:r w:rsidRPr="000322F5">
        <w:rPr>
          <w:rFonts w:ascii="Times New Roman" w:hAnsi="Times New Roman" w:cs="Times New Roman"/>
          <w:sz w:val="24"/>
          <w:szCs w:val="24"/>
        </w:rPr>
        <w:t> from the Supreme Court, arguing, that he was not provided with an attorney. Writ of </w:t>
      </w:r>
      <w:r w:rsidRPr="000322F5">
        <w:rPr>
          <w:rFonts w:ascii="Times New Roman" w:hAnsi="Times New Roman" w:cs="Times New Roman"/>
          <w:i/>
          <w:iCs/>
          <w:sz w:val="24"/>
          <w:szCs w:val="24"/>
        </w:rPr>
        <w:t>habeas corpus</w:t>
      </w:r>
      <w:r w:rsidRPr="000322F5">
        <w:rPr>
          <w:rFonts w:ascii="Times New Roman" w:hAnsi="Times New Roman" w:cs="Times New Roman"/>
          <w:sz w:val="24"/>
          <w:szCs w:val="24"/>
        </w:rPr>
        <w:t xml:space="preserve"> is a common law that is used to bring </w:t>
      </w:r>
    </w:p>
    <w:p w14:paraId="2170F988" w14:textId="77777777" w:rsidR="00B77406" w:rsidRDefault="00B77406" w:rsidP="00AB430C">
      <w:pPr>
        <w:spacing w:line="480" w:lineRule="auto"/>
        <w:rPr>
          <w:rFonts w:ascii="Times New Roman" w:hAnsi="Times New Roman" w:cs="Times New Roman"/>
          <w:sz w:val="24"/>
          <w:szCs w:val="24"/>
        </w:rPr>
      </w:pPr>
    </w:p>
    <w:p w14:paraId="0237C15B" w14:textId="35C6A9E8" w:rsidR="00AB430C" w:rsidRPr="00AB430C" w:rsidRDefault="00AB430C" w:rsidP="00AB430C">
      <w:pPr>
        <w:spacing w:line="480" w:lineRule="auto"/>
        <w:rPr>
          <w:rFonts w:ascii="Times New Roman" w:hAnsi="Times New Roman" w:cs="Times New Roman"/>
          <w:sz w:val="24"/>
          <w:szCs w:val="24"/>
        </w:rPr>
      </w:pPr>
      <w:r w:rsidRPr="000322F5">
        <w:rPr>
          <w:rFonts w:ascii="Times New Roman" w:hAnsi="Times New Roman" w:cs="Times New Roman"/>
          <w:sz w:val="24"/>
          <w:szCs w:val="24"/>
        </w:rPr>
        <w:lastRenderedPageBreak/>
        <w:t>back the retained person before the court to determine whether the person’s imprisonment is lawful (Murphy, 2017). Gideon emphasized that he was denied a fair trial. The United States Supreme Court agreed to hear Gideon’s petition. At the time, it happened that the Supreme Court had dealt with similar cases b</w:t>
      </w:r>
      <w:r w:rsidRPr="00AB430C">
        <w:rPr>
          <w:rFonts w:ascii="Times New Roman" w:hAnsi="Times New Roman" w:cs="Times New Roman"/>
          <w:sz w:val="24"/>
          <w:szCs w:val="24"/>
        </w:rPr>
        <w:t>efore. Thus, it had ruled that the state courts are supposed to provide indigent defendants who have been charged with the capital offense the right to be accorded, legal counsel. Regarding Gideon’s case, the court argued that it was not necessary to provide legal counsel to an indigent defendant who is being charged with a state felony case. The Supreme Court emphasized that legal counsel to an indigent defendant who is being charged by the state felony case is only permissible if there were any special circumstances to consider. Notably, the circumstances were such as if the defendant had a mental illness or was illiterate (Moskowitz, 2017). </w:t>
      </w:r>
    </w:p>
    <w:p w14:paraId="146115D3" w14:textId="77777777" w:rsidR="00B77406" w:rsidRDefault="00AB430C" w:rsidP="00AB430C">
      <w:pPr>
        <w:spacing w:line="480" w:lineRule="auto"/>
        <w:rPr>
          <w:rFonts w:ascii="Times New Roman" w:hAnsi="Times New Roman" w:cs="Times New Roman"/>
          <w:sz w:val="24"/>
          <w:szCs w:val="24"/>
        </w:rPr>
      </w:pPr>
      <w:r w:rsidRPr="00AB430C">
        <w:rPr>
          <w:rFonts w:ascii="Times New Roman" w:hAnsi="Times New Roman" w:cs="Times New Roman"/>
          <w:sz w:val="24"/>
          <w:szCs w:val="24"/>
        </w:rPr>
        <w:t xml:space="preserve">           The Supreme Court later listened to oral arguments in the Gideon v. Wainwright case. This led to bringing back of Gideon before the Supreme Court. He was brought back on grounds that his case was a special case because he had only acquired an eighth-grade education. This set an argument that asserted that there was no defendant, however well-educated or competent, could present enough defense against the state. Also, the argument asserted that the U.S. constitution provides legal presentation to all defendants accused of a felony. Upon considering the two views, the Supreme Court unanimously accepted the views. Therefore, it ruled that the right to counsel recognized in federal courts according to the Sixth Amendment must also be considered on the state courts. The Supreme Court emphasized that the right for legal counsel is </w:t>
      </w:r>
    </w:p>
    <w:p w14:paraId="4496C216" w14:textId="77777777" w:rsidR="00B77406" w:rsidRDefault="00B77406" w:rsidP="00AB430C">
      <w:pPr>
        <w:spacing w:line="480" w:lineRule="auto"/>
        <w:rPr>
          <w:rFonts w:ascii="Times New Roman" w:hAnsi="Times New Roman" w:cs="Times New Roman"/>
          <w:sz w:val="24"/>
          <w:szCs w:val="24"/>
        </w:rPr>
      </w:pPr>
    </w:p>
    <w:p w14:paraId="2378800D" w14:textId="77777777" w:rsidR="00B77406" w:rsidRDefault="00B77406" w:rsidP="00AB430C">
      <w:pPr>
        <w:spacing w:line="480" w:lineRule="auto"/>
        <w:rPr>
          <w:rFonts w:ascii="Times New Roman" w:hAnsi="Times New Roman" w:cs="Times New Roman"/>
          <w:sz w:val="24"/>
          <w:szCs w:val="24"/>
        </w:rPr>
      </w:pPr>
    </w:p>
    <w:p w14:paraId="436C586D" w14:textId="03631E90" w:rsidR="00AB430C" w:rsidRPr="00AB430C" w:rsidRDefault="00AB430C" w:rsidP="00AB430C">
      <w:pPr>
        <w:spacing w:line="480" w:lineRule="auto"/>
        <w:rPr>
          <w:rFonts w:ascii="Times New Roman" w:hAnsi="Times New Roman" w:cs="Times New Roman"/>
          <w:sz w:val="24"/>
          <w:szCs w:val="24"/>
        </w:rPr>
      </w:pPr>
      <w:r w:rsidRPr="00AB430C">
        <w:rPr>
          <w:rFonts w:ascii="Times New Roman" w:hAnsi="Times New Roman" w:cs="Times New Roman"/>
          <w:sz w:val="24"/>
          <w:szCs w:val="24"/>
        </w:rPr>
        <w:lastRenderedPageBreak/>
        <w:t>obligatory on states by referring to the Fourteenth Amendment’s due process Clause that states that </w:t>
      </w:r>
      <w:r w:rsidR="00B77406" w:rsidRPr="00AB430C">
        <w:rPr>
          <w:rFonts w:ascii="Times New Roman" w:hAnsi="Times New Roman" w:cs="Times New Roman"/>
          <w:sz w:val="24"/>
          <w:szCs w:val="24"/>
        </w:rPr>
        <w:t>‘State</w:t>
      </w:r>
      <w:r w:rsidRPr="00AB430C">
        <w:rPr>
          <w:rFonts w:ascii="Times New Roman" w:hAnsi="Times New Roman" w:cs="Times New Roman"/>
          <w:sz w:val="24"/>
          <w:szCs w:val="24"/>
        </w:rPr>
        <w:t xml:space="preserve"> is forbidden from depriving any person of life, liberty, or property without adhering to the due procedure and process of the law. This ruling overturned previous cases in which the state courts had passed a ruling without considering the due process of the law. Gideon was then retried and he was acquitted in the year 1963. </w:t>
      </w:r>
    </w:p>
    <w:p w14:paraId="2E8924AA" w14:textId="77777777" w:rsidR="00AB430C" w:rsidRPr="00AB430C" w:rsidRDefault="00AB430C" w:rsidP="00AB430C">
      <w:pPr>
        <w:spacing w:line="480" w:lineRule="auto"/>
        <w:rPr>
          <w:rFonts w:ascii="Times New Roman" w:hAnsi="Times New Roman" w:cs="Times New Roman"/>
          <w:sz w:val="24"/>
          <w:szCs w:val="24"/>
        </w:rPr>
      </w:pPr>
      <w:r w:rsidRPr="00AB430C">
        <w:rPr>
          <w:rFonts w:ascii="Times New Roman" w:hAnsi="Times New Roman" w:cs="Times New Roman"/>
          <w:sz w:val="24"/>
          <w:szCs w:val="24"/>
        </w:rPr>
        <w:t>           It is evident that the criminal justice system before Gideon v. Wainwright was discriminative. It was discriminative in the sense that Justice was only granted to people who could afford justice. This is considering the fact that indigent people were not accorded the right to have an attorney before in state courts. Rights to an attorney before then was only available to the people with the ability to pay for legal counsel. This was against the principles of justice which demand fairness, entitlement, and equality. Everyone is supposed to have equal access to goods and services. Thus, everyone is entitled to overcoming unfairness which is caused by unequal possession of power and money. Gideon had been denied the right to access justice simply because of the fact that he was poor and was less educated. This case was important because it brought a point that legal counsel in criminal courts is a necessity but not a luxury. The case had a profound contribution to the operations and future of the United States Criminal justice system. </w:t>
      </w:r>
    </w:p>
    <w:p w14:paraId="7D7962A0" w14:textId="77777777" w:rsidR="00B77406" w:rsidRDefault="00AB430C" w:rsidP="00AB430C">
      <w:pPr>
        <w:spacing w:line="480" w:lineRule="auto"/>
        <w:rPr>
          <w:rFonts w:ascii="Times New Roman" w:hAnsi="Times New Roman" w:cs="Times New Roman"/>
          <w:sz w:val="24"/>
          <w:szCs w:val="24"/>
        </w:rPr>
      </w:pPr>
      <w:r w:rsidRPr="00AB430C">
        <w:rPr>
          <w:rFonts w:ascii="Times New Roman" w:hAnsi="Times New Roman" w:cs="Times New Roman"/>
          <w:sz w:val="24"/>
          <w:szCs w:val="24"/>
        </w:rPr>
        <w:t xml:space="preserve">           Court decision or order is an official proclamation that is made by a panel of judges in regard to the rule of law. Courts exist for the purpose of protecting citizens and the defendant’s rights. They provide both the citizens and defendants with an opportunity to have their cases </w:t>
      </w:r>
    </w:p>
    <w:p w14:paraId="48B4779B" w14:textId="77777777" w:rsidR="00B77406" w:rsidRDefault="00B77406" w:rsidP="00AB430C">
      <w:pPr>
        <w:spacing w:line="480" w:lineRule="auto"/>
        <w:rPr>
          <w:rFonts w:ascii="Times New Roman" w:hAnsi="Times New Roman" w:cs="Times New Roman"/>
          <w:sz w:val="24"/>
          <w:szCs w:val="24"/>
        </w:rPr>
      </w:pPr>
    </w:p>
    <w:p w14:paraId="5E506A25" w14:textId="04A1A7F1" w:rsidR="00AB430C" w:rsidRPr="00AB430C" w:rsidRDefault="00AB430C" w:rsidP="00AB430C">
      <w:pPr>
        <w:spacing w:line="480" w:lineRule="auto"/>
        <w:rPr>
          <w:rFonts w:ascii="Times New Roman" w:hAnsi="Times New Roman" w:cs="Times New Roman"/>
          <w:sz w:val="24"/>
          <w:szCs w:val="24"/>
        </w:rPr>
      </w:pPr>
      <w:r w:rsidRPr="00AB430C">
        <w:rPr>
          <w:rFonts w:ascii="Times New Roman" w:hAnsi="Times New Roman" w:cs="Times New Roman"/>
          <w:sz w:val="24"/>
          <w:szCs w:val="24"/>
        </w:rPr>
        <w:lastRenderedPageBreak/>
        <w:t>heard by a neutral jury. This is for the purpose of solving the disputes presented and enforcing laws in a rational and fair manner. </w:t>
      </w:r>
    </w:p>
    <w:p w14:paraId="4E04E5DB" w14:textId="77777777" w:rsidR="00AB430C" w:rsidRPr="00AB430C" w:rsidRDefault="00AB430C" w:rsidP="00AB430C">
      <w:pPr>
        <w:spacing w:line="480" w:lineRule="auto"/>
        <w:rPr>
          <w:rFonts w:ascii="Times New Roman" w:hAnsi="Times New Roman" w:cs="Times New Roman"/>
          <w:sz w:val="24"/>
          <w:szCs w:val="24"/>
        </w:rPr>
      </w:pPr>
      <w:r w:rsidRPr="00AB430C">
        <w:rPr>
          <w:rFonts w:ascii="Times New Roman" w:hAnsi="Times New Roman" w:cs="Times New Roman"/>
          <w:sz w:val="24"/>
          <w:szCs w:val="24"/>
        </w:rPr>
        <w:t>The decisions or rulings made are no basis of what the law dictates and what the evidence gathered proves. All court procedures and decisions are supposed to be transparent and accessible (Friedman, 2019). With this understanding and the consideration of the Gideon v. Wainwright right case scenario, it is evident that court decisions or orders have a huge impact on both citizen's and defendants’ rights. </w:t>
      </w:r>
    </w:p>
    <w:p w14:paraId="2CF2E949" w14:textId="77777777" w:rsidR="00AB430C" w:rsidRPr="00AB430C" w:rsidRDefault="00AB430C" w:rsidP="00AB430C">
      <w:pPr>
        <w:spacing w:line="480" w:lineRule="auto"/>
        <w:rPr>
          <w:rFonts w:ascii="Times New Roman" w:hAnsi="Times New Roman" w:cs="Times New Roman"/>
          <w:sz w:val="24"/>
          <w:szCs w:val="24"/>
        </w:rPr>
      </w:pPr>
      <w:r w:rsidRPr="00AB430C">
        <w:rPr>
          <w:rFonts w:ascii="Times New Roman" w:hAnsi="Times New Roman" w:cs="Times New Roman"/>
          <w:sz w:val="24"/>
          <w:szCs w:val="24"/>
        </w:rPr>
        <w:t>           Court decisions ensure that both the citizen and defendant’s rights are protected according to the providences of the constitutional laws. They defend both the citizen and the defendant’s rights and liberties from other bodies who try to infringe on these rights. More so, they strive to rectify any errors that pose a threat to these rights. In the case of misinterpretations or misunderstandings, court decisions can violate the rights of the citizen. In the Gideon v. Wainwright case, the court ruling had violated the defendant's right for a fair and just trial. The defendant had been sentenced to prison through unlawful procedures. </w:t>
      </w:r>
    </w:p>
    <w:p w14:paraId="7DEC707B" w14:textId="77777777" w:rsidR="00AB430C" w:rsidRPr="00AB430C" w:rsidRDefault="00AB430C" w:rsidP="00AB430C">
      <w:pPr>
        <w:spacing w:line="480" w:lineRule="auto"/>
        <w:rPr>
          <w:rFonts w:ascii="Times New Roman" w:hAnsi="Times New Roman" w:cs="Times New Roman"/>
          <w:sz w:val="24"/>
          <w:szCs w:val="24"/>
        </w:rPr>
      </w:pPr>
      <w:r w:rsidRPr="00AB430C">
        <w:rPr>
          <w:rFonts w:ascii="Times New Roman" w:hAnsi="Times New Roman" w:cs="Times New Roman"/>
          <w:sz w:val="24"/>
          <w:szCs w:val="24"/>
        </w:rPr>
        <w:t>           In conclusion, it is the responsibility of courts to uphold citizen and defendants’ rights. In regard to the Gideon v. Wainwright case scenario, the state court had denied Gideon his right on the basis that he was indigent. This was against equality and equity principles of justice. More so, it was against both the sixth and fourteenth amendments. Attorneys before were taken as luxuries instead of luxuries. This case was important because it shed led light on a loophole that was in the criminal justice system. It allowed indigent defendants who were charged with state felony cases to access the right of a fair trial. </w:t>
      </w:r>
    </w:p>
    <w:p w14:paraId="72A40C27" w14:textId="77777777" w:rsidR="003D405D" w:rsidRDefault="003D405D" w:rsidP="00AB430C">
      <w:pPr>
        <w:spacing w:line="480" w:lineRule="auto"/>
        <w:rPr>
          <w:rFonts w:ascii="Times New Roman" w:hAnsi="Times New Roman" w:cs="Times New Roman"/>
          <w:sz w:val="24"/>
          <w:szCs w:val="24"/>
        </w:rPr>
      </w:pPr>
    </w:p>
    <w:p w14:paraId="1A5F251B" w14:textId="6E478C07" w:rsidR="007E2BED" w:rsidRDefault="002C116A" w:rsidP="00B7740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4F1F42DE" w14:textId="77777777" w:rsidR="000505B9" w:rsidRDefault="000505B9" w:rsidP="00AB430C">
      <w:pPr>
        <w:spacing w:line="480" w:lineRule="auto"/>
        <w:ind w:left="720" w:hanging="720"/>
        <w:rPr>
          <w:rFonts w:ascii="Times New Roman" w:hAnsi="Times New Roman" w:cs="Times New Roman"/>
          <w:sz w:val="24"/>
          <w:szCs w:val="24"/>
        </w:rPr>
      </w:pPr>
      <w:r w:rsidRPr="000505B9">
        <w:rPr>
          <w:rFonts w:ascii="Times New Roman" w:hAnsi="Times New Roman" w:cs="Times New Roman"/>
          <w:sz w:val="24"/>
          <w:szCs w:val="24"/>
        </w:rPr>
        <w:t xml:space="preserve">Primus, E. B. (2017). Disentangling Miranda and </w:t>
      </w:r>
      <w:proofErr w:type="spellStart"/>
      <w:r w:rsidRPr="000505B9">
        <w:rPr>
          <w:rFonts w:ascii="Times New Roman" w:hAnsi="Times New Roman" w:cs="Times New Roman"/>
          <w:sz w:val="24"/>
          <w:szCs w:val="24"/>
        </w:rPr>
        <w:t>Massiah</w:t>
      </w:r>
      <w:proofErr w:type="spellEnd"/>
      <w:r w:rsidRPr="000505B9">
        <w:rPr>
          <w:rFonts w:ascii="Times New Roman" w:hAnsi="Times New Roman" w:cs="Times New Roman"/>
          <w:sz w:val="24"/>
          <w:szCs w:val="24"/>
        </w:rPr>
        <w:t>: How to Revive the Sixth Amendment Right to Counsel as a Tool f</w:t>
      </w:r>
      <w:bookmarkStart w:id="0" w:name="_GoBack"/>
      <w:bookmarkEnd w:id="0"/>
      <w:r w:rsidRPr="000505B9">
        <w:rPr>
          <w:rFonts w:ascii="Times New Roman" w:hAnsi="Times New Roman" w:cs="Times New Roman"/>
          <w:sz w:val="24"/>
          <w:szCs w:val="24"/>
        </w:rPr>
        <w:t>or Regulating Confession Law. </w:t>
      </w:r>
      <w:r w:rsidRPr="000505B9">
        <w:rPr>
          <w:rFonts w:ascii="Times New Roman" w:hAnsi="Times New Roman" w:cs="Times New Roman"/>
          <w:i/>
          <w:iCs/>
          <w:sz w:val="24"/>
          <w:szCs w:val="24"/>
        </w:rPr>
        <w:t>BUL Rev.</w:t>
      </w:r>
      <w:r w:rsidRPr="000505B9">
        <w:rPr>
          <w:rFonts w:ascii="Times New Roman" w:hAnsi="Times New Roman" w:cs="Times New Roman"/>
          <w:sz w:val="24"/>
          <w:szCs w:val="24"/>
        </w:rPr>
        <w:t>, </w:t>
      </w:r>
      <w:r w:rsidRPr="000505B9">
        <w:rPr>
          <w:rFonts w:ascii="Times New Roman" w:hAnsi="Times New Roman" w:cs="Times New Roman"/>
          <w:i/>
          <w:iCs/>
          <w:sz w:val="24"/>
          <w:szCs w:val="24"/>
        </w:rPr>
        <w:t>97</w:t>
      </w:r>
      <w:r w:rsidRPr="000505B9">
        <w:rPr>
          <w:rFonts w:ascii="Times New Roman" w:hAnsi="Times New Roman" w:cs="Times New Roman"/>
          <w:sz w:val="24"/>
          <w:szCs w:val="24"/>
        </w:rPr>
        <w:t>, 1085.</w:t>
      </w:r>
    </w:p>
    <w:p w14:paraId="7D55121D" w14:textId="77777777" w:rsidR="000A368B" w:rsidRDefault="000A368B" w:rsidP="00AB430C">
      <w:pPr>
        <w:spacing w:line="480" w:lineRule="auto"/>
        <w:ind w:left="720" w:hanging="720"/>
        <w:rPr>
          <w:rFonts w:ascii="Times New Roman" w:hAnsi="Times New Roman" w:cs="Times New Roman"/>
          <w:sz w:val="24"/>
          <w:szCs w:val="24"/>
        </w:rPr>
      </w:pPr>
      <w:r w:rsidRPr="000A368B">
        <w:rPr>
          <w:rFonts w:ascii="Times New Roman" w:hAnsi="Times New Roman" w:cs="Times New Roman"/>
          <w:sz w:val="24"/>
          <w:szCs w:val="24"/>
        </w:rPr>
        <w:t>Moskowitz, D. B. (2019). TRUMPETING CHANGE: GIDEON V. WAINWRIGHT 372 US 355, 1963 RIGHT TO COUNSEL. </w:t>
      </w:r>
      <w:r w:rsidRPr="000A368B">
        <w:rPr>
          <w:rFonts w:ascii="Times New Roman" w:hAnsi="Times New Roman" w:cs="Times New Roman"/>
          <w:i/>
          <w:iCs/>
          <w:sz w:val="24"/>
          <w:szCs w:val="24"/>
        </w:rPr>
        <w:t>American History</w:t>
      </w:r>
      <w:r w:rsidRPr="000A368B">
        <w:rPr>
          <w:rFonts w:ascii="Times New Roman" w:hAnsi="Times New Roman" w:cs="Times New Roman"/>
          <w:sz w:val="24"/>
          <w:szCs w:val="24"/>
        </w:rPr>
        <w:t>, </w:t>
      </w:r>
      <w:r w:rsidRPr="000A368B">
        <w:rPr>
          <w:rFonts w:ascii="Times New Roman" w:hAnsi="Times New Roman" w:cs="Times New Roman"/>
          <w:i/>
          <w:iCs/>
          <w:sz w:val="24"/>
          <w:szCs w:val="24"/>
        </w:rPr>
        <w:t>53</w:t>
      </w:r>
      <w:r w:rsidRPr="000A368B">
        <w:rPr>
          <w:rFonts w:ascii="Times New Roman" w:hAnsi="Times New Roman" w:cs="Times New Roman"/>
          <w:sz w:val="24"/>
          <w:szCs w:val="24"/>
        </w:rPr>
        <w:t>(6), 22-24.</w:t>
      </w:r>
    </w:p>
    <w:p w14:paraId="43A4F013" w14:textId="77777777" w:rsidR="004C4E05" w:rsidRDefault="004C4E05" w:rsidP="00AB430C">
      <w:pPr>
        <w:spacing w:line="480" w:lineRule="auto"/>
        <w:ind w:left="720" w:hanging="720"/>
        <w:rPr>
          <w:rFonts w:ascii="Times New Roman" w:hAnsi="Times New Roman" w:cs="Times New Roman"/>
          <w:sz w:val="24"/>
          <w:szCs w:val="24"/>
        </w:rPr>
      </w:pPr>
      <w:r w:rsidRPr="004C4E05">
        <w:rPr>
          <w:rFonts w:ascii="Times New Roman" w:hAnsi="Times New Roman" w:cs="Times New Roman"/>
          <w:sz w:val="24"/>
          <w:szCs w:val="24"/>
        </w:rPr>
        <w:t>Murphy, T. R. (2017). Federal habeas corpus and systemic official misconduct: Why form trumps constitutional rights. </w:t>
      </w:r>
      <w:r w:rsidRPr="004C4E05">
        <w:rPr>
          <w:rFonts w:ascii="Times New Roman" w:hAnsi="Times New Roman" w:cs="Times New Roman"/>
          <w:i/>
          <w:iCs/>
          <w:sz w:val="24"/>
          <w:szCs w:val="24"/>
        </w:rPr>
        <w:t>U. Kan. L. Rev.</w:t>
      </w:r>
      <w:r w:rsidRPr="004C4E05">
        <w:rPr>
          <w:rFonts w:ascii="Times New Roman" w:hAnsi="Times New Roman" w:cs="Times New Roman"/>
          <w:sz w:val="24"/>
          <w:szCs w:val="24"/>
        </w:rPr>
        <w:t>, </w:t>
      </w:r>
      <w:r w:rsidRPr="004C4E05">
        <w:rPr>
          <w:rFonts w:ascii="Times New Roman" w:hAnsi="Times New Roman" w:cs="Times New Roman"/>
          <w:i/>
          <w:iCs/>
          <w:sz w:val="24"/>
          <w:szCs w:val="24"/>
        </w:rPr>
        <w:t>66</w:t>
      </w:r>
      <w:r w:rsidRPr="004C4E05">
        <w:rPr>
          <w:rFonts w:ascii="Times New Roman" w:hAnsi="Times New Roman" w:cs="Times New Roman"/>
          <w:sz w:val="24"/>
          <w:szCs w:val="24"/>
        </w:rPr>
        <w:t>, 1.</w:t>
      </w:r>
    </w:p>
    <w:p w14:paraId="299AE763" w14:textId="77777777" w:rsidR="001637CC" w:rsidRPr="000E21CF" w:rsidRDefault="001637CC" w:rsidP="00AB430C">
      <w:pPr>
        <w:spacing w:line="480" w:lineRule="auto"/>
        <w:ind w:left="720" w:hanging="720"/>
        <w:rPr>
          <w:rFonts w:ascii="Times New Roman" w:hAnsi="Times New Roman" w:cs="Times New Roman"/>
          <w:sz w:val="24"/>
          <w:szCs w:val="24"/>
        </w:rPr>
      </w:pPr>
      <w:r w:rsidRPr="001637CC">
        <w:rPr>
          <w:rFonts w:ascii="Times New Roman" w:hAnsi="Times New Roman" w:cs="Times New Roman"/>
          <w:sz w:val="24"/>
          <w:szCs w:val="24"/>
        </w:rPr>
        <w:t>Friedman, L. (2019). The Known Citizen: A History of Privacy in Modern America.</w:t>
      </w:r>
    </w:p>
    <w:sectPr w:rsidR="001637CC" w:rsidRPr="000E21C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C8DC30" w14:textId="77777777" w:rsidR="00DE18B8" w:rsidRDefault="00DE18B8" w:rsidP="004E72E9">
      <w:pPr>
        <w:spacing w:after="0" w:line="240" w:lineRule="auto"/>
      </w:pPr>
      <w:r>
        <w:separator/>
      </w:r>
    </w:p>
  </w:endnote>
  <w:endnote w:type="continuationSeparator" w:id="0">
    <w:p w14:paraId="14064B50" w14:textId="77777777" w:rsidR="00DE18B8" w:rsidRDefault="00DE18B8" w:rsidP="004E7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01E21B" w14:textId="77777777" w:rsidR="00DE18B8" w:rsidRDefault="00DE18B8" w:rsidP="004E72E9">
      <w:pPr>
        <w:spacing w:after="0" w:line="240" w:lineRule="auto"/>
      </w:pPr>
      <w:r>
        <w:separator/>
      </w:r>
    </w:p>
  </w:footnote>
  <w:footnote w:type="continuationSeparator" w:id="0">
    <w:p w14:paraId="320D7641" w14:textId="77777777" w:rsidR="00DE18B8" w:rsidRDefault="00DE18B8" w:rsidP="004E7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1E6BD" w14:textId="3136F39C" w:rsidR="000E21CF" w:rsidRPr="000E21CF" w:rsidRDefault="000E21CF">
    <w:pPr>
      <w:pStyle w:val="Header"/>
      <w:rPr>
        <w:rFonts w:ascii="Times New Roman" w:hAnsi="Times New Roman" w:cs="Times New Roman"/>
        <w:sz w:val="24"/>
        <w:szCs w:val="24"/>
      </w:rPr>
    </w:pPr>
    <w:r w:rsidRPr="000E21CF">
      <w:rPr>
        <w:rFonts w:ascii="Times New Roman" w:hAnsi="Times New Roman" w:cs="Times New Roman"/>
        <w:sz w:val="24"/>
        <w:szCs w:val="24"/>
      </w:rPr>
      <w:t xml:space="preserve">CRIMINAL COURTS AND PROFESSIONAL ETHICS                                                          </w:t>
    </w:r>
    <w:sdt>
      <w:sdtPr>
        <w:rPr>
          <w:rFonts w:ascii="Times New Roman" w:hAnsi="Times New Roman" w:cs="Times New Roman"/>
          <w:sz w:val="24"/>
          <w:szCs w:val="24"/>
        </w:rPr>
        <w:id w:val="1485281171"/>
        <w:docPartObj>
          <w:docPartGallery w:val="Page Numbers (Top of Page)"/>
          <w:docPartUnique/>
        </w:docPartObj>
      </w:sdtPr>
      <w:sdtEndPr>
        <w:rPr>
          <w:noProof/>
        </w:rPr>
      </w:sdtEndPr>
      <w:sdtContent>
        <w:r w:rsidRPr="000E21CF">
          <w:rPr>
            <w:rFonts w:ascii="Times New Roman" w:hAnsi="Times New Roman" w:cs="Times New Roman"/>
            <w:sz w:val="24"/>
            <w:szCs w:val="24"/>
          </w:rPr>
          <w:fldChar w:fldCharType="begin"/>
        </w:r>
        <w:r w:rsidRPr="000E21CF">
          <w:rPr>
            <w:rFonts w:ascii="Times New Roman" w:hAnsi="Times New Roman" w:cs="Times New Roman"/>
            <w:sz w:val="24"/>
            <w:szCs w:val="24"/>
          </w:rPr>
          <w:instrText xml:space="preserve"> PAGE   \* MERGEFORMAT </w:instrText>
        </w:r>
        <w:r w:rsidRPr="000E21CF">
          <w:rPr>
            <w:rFonts w:ascii="Times New Roman" w:hAnsi="Times New Roman" w:cs="Times New Roman"/>
            <w:sz w:val="24"/>
            <w:szCs w:val="24"/>
          </w:rPr>
          <w:fldChar w:fldCharType="separate"/>
        </w:r>
        <w:r w:rsidR="00B77406">
          <w:rPr>
            <w:rFonts w:ascii="Times New Roman" w:hAnsi="Times New Roman" w:cs="Times New Roman"/>
            <w:noProof/>
            <w:sz w:val="24"/>
            <w:szCs w:val="24"/>
          </w:rPr>
          <w:t>5</w:t>
        </w:r>
        <w:r w:rsidRPr="000E21CF">
          <w:rPr>
            <w:rFonts w:ascii="Times New Roman" w:hAnsi="Times New Roman" w:cs="Times New Roman"/>
            <w:noProof/>
            <w:sz w:val="24"/>
            <w:szCs w:val="24"/>
          </w:rPr>
          <w:fldChar w:fldCharType="end"/>
        </w:r>
      </w:sdtContent>
    </w:sdt>
  </w:p>
  <w:p w14:paraId="59CDB374" w14:textId="77777777" w:rsidR="004E72E9" w:rsidRPr="000E21CF" w:rsidRDefault="004E72E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2E9"/>
    <w:rsid w:val="000322F5"/>
    <w:rsid w:val="0004215C"/>
    <w:rsid w:val="000505B9"/>
    <w:rsid w:val="000544E4"/>
    <w:rsid w:val="00057ED3"/>
    <w:rsid w:val="000A368B"/>
    <w:rsid w:val="000B1DEB"/>
    <w:rsid w:val="000C03F2"/>
    <w:rsid w:val="000E21CF"/>
    <w:rsid w:val="000E539E"/>
    <w:rsid w:val="00124BEC"/>
    <w:rsid w:val="00136DF6"/>
    <w:rsid w:val="00144E86"/>
    <w:rsid w:val="001556E8"/>
    <w:rsid w:val="0016332A"/>
    <w:rsid w:val="001637CC"/>
    <w:rsid w:val="00164257"/>
    <w:rsid w:val="0016646E"/>
    <w:rsid w:val="00166F6B"/>
    <w:rsid w:val="00170BD8"/>
    <w:rsid w:val="00185130"/>
    <w:rsid w:val="001925CA"/>
    <w:rsid w:val="001936D0"/>
    <w:rsid w:val="001B233C"/>
    <w:rsid w:val="001B2FFA"/>
    <w:rsid w:val="001E4037"/>
    <w:rsid w:val="001F11F8"/>
    <w:rsid w:val="00226095"/>
    <w:rsid w:val="0025057D"/>
    <w:rsid w:val="00254DA3"/>
    <w:rsid w:val="002733D8"/>
    <w:rsid w:val="002B1479"/>
    <w:rsid w:val="002C116A"/>
    <w:rsid w:val="002C7DEF"/>
    <w:rsid w:val="002D2E36"/>
    <w:rsid w:val="002E1790"/>
    <w:rsid w:val="002E19B3"/>
    <w:rsid w:val="002E40BA"/>
    <w:rsid w:val="002E50AB"/>
    <w:rsid w:val="002F6DA2"/>
    <w:rsid w:val="00306203"/>
    <w:rsid w:val="003064D8"/>
    <w:rsid w:val="0030737A"/>
    <w:rsid w:val="00320B98"/>
    <w:rsid w:val="003629E8"/>
    <w:rsid w:val="0038050C"/>
    <w:rsid w:val="00387D6C"/>
    <w:rsid w:val="003A1DB2"/>
    <w:rsid w:val="003B60E1"/>
    <w:rsid w:val="003C3731"/>
    <w:rsid w:val="003C535C"/>
    <w:rsid w:val="003D405D"/>
    <w:rsid w:val="003E1744"/>
    <w:rsid w:val="003F0C32"/>
    <w:rsid w:val="00404E54"/>
    <w:rsid w:val="00407BD8"/>
    <w:rsid w:val="00413DB2"/>
    <w:rsid w:val="00420326"/>
    <w:rsid w:val="004235D8"/>
    <w:rsid w:val="00495E59"/>
    <w:rsid w:val="004B52FB"/>
    <w:rsid w:val="004C4E05"/>
    <w:rsid w:val="004E4049"/>
    <w:rsid w:val="004E42DF"/>
    <w:rsid w:val="004E72E9"/>
    <w:rsid w:val="004F5B8C"/>
    <w:rsid w:val="005128A7"/>
    <w:rsid w:val="00517CE6"/>
    <w:rsid w:val="0055027D"/>
    <w:rsid w:val="0056332A"/>
    <w:rsid w:val="005A149A"/>
    <w:rsid w:val="005B0D06"/>
    <w:rsid w:val="005B3849"/>
    <w:rsid w:val="005C534C"/>
    <w:rsid w:val="005F6A07"/>
    <w:rsid w:val="00601EC5"/>
    <w:rsid w:val="00633543"/>
    <w:rsid w:val="006361A9"/>
    <w:rsid w:val="00651471"/>
    <w:rsid w:val="0066573B"/>
    <w:rsid w:val="006701EB"/>
    <w:rsid w:val="00686741"/>
    <w:rsid w:val="0069086D"/>
    <w:rsid w:val="006A42FB"/>
    <w:rsid w:val="006C175E"/>
    <w:rsid w:val="006D0107"/>
    <w:rsid w:val="006D0C29"/>
    <w:rsid w:val="006E32FC"/>
    <w:rsid w:val="006F63A1"/>
    <w:rsid w:val="0073504B"/>
    <w:rsid w:val="00752585"/>
    <w:rsid w:val="00755788"/>
    <w:rsid w:val="007609F3"/>
    <w:rsid w:val="00766331"/>
    <w:rsid w:val="007738E8"/>
    <w:rsid w:val="007771BF"/>
    <w:rsid w:val="00783AF2"/>
    <w:rsid w:val="00797D56"/>
    <w:rsid w:val="007A392D"/>
    <w:rsid w:val="007E2BED"/>
    <w:rsid w:val="007E37E9"/>
    <w:rsid w:val="007F0290"/>
    <w:rsid w:val="008229AF"/>
    <w:rsid w:val="00825DDE"/>
    <w:rsid w:val="008502C2"/>
    <w:rsid w:val="00870E43"/>
    <w:rsid w:val="00884621"/>
    <w:rsid w:val="008A306F"/>
    <w:rsid w:val="008A604A"/>
    <w:rsid w:val="008D0B67"/>
    <w:rsid w:val="008E5D5D"/>
    <w:rsid w:val="008F0CF6"/>
    <w:rsid w:val="009004AA"/>
    <w:rsid w:val="00906399"/>
    <w:rsid w:val="00907F98"/>
    <w:rsid w:val="00911482"/>
    <w:rsid w:val="009176FB"/>
    <w:rsid w:val="009265B0"/>
    <w:rsid w:val="00945D77"/>
    <w:rsid w:val="00946B18"/>
    <w:rsid w:val="0097723D"/>
    <w:rsid w:val="009942CD"/>
    <w:rsid w:val="009D4347"/>
    <w:rsid w:val="00A167FE"/>
    <w:rsid w:val="00A24564"/>
    <w:rsid w:val="00A274CC"/>
    <w:rsid w:val="00A274DE"/>
    <w:rsid w:val="00A3670B"/>
    <w:rsid w:val="00A424D0"/>
    <w:rsid w:val="00A517FE"/>
    <w:rsid w:val="00A570D6"/>
    <w:rsid w:val="00A81234"/>
    <w:rsid w:val="00A92B91"/>
    <w:rsid w:val="00AB0FA2"/>
    <w:rsid w:val="00AB430C"/>
    <w:rsid w:val="00AC2C77"/>
    <w:rsid w:val="00AD19C4"/>
    <w:rsid w:val="00B53DE7"/>
    <w:rsid w:val="00B55C3E"/>
    <w:rsid w:val="00B6476A"/>
    <w:rsid w:val="00B7124E"/>
    <w:rsid w:val="00B74E87"/>
    <w:rsid w:val="00B77406"/>
    <w:rsid w:val="00B905E1"/>
    <w:rsid w:val="00BB53BC"/>
    <w:rsid w:val="00BD6292"/>
    <w:rsid w:val="00BD6E71"/>
    <w:rsid w:val="00BF4469"/>
    <w:rsid w:val="00C12143"/>
    <w:rsid w:val="00C31598"/>
    <w:rsid w:val="00C32EBF"/>
    <w:rsid w:val="00C44EEA"/>
    <w:rsid w:val="00C47E84"/>
    <w:rsid w:val="00C9698E"/>
    <w:rsid w:val="00CB7B3D"/>
    <w:rsid w:val="00CD6AC0"/>
    <w:rsid w:val="00CE57D7"/>
    <w:rsid w:val="00CE6B25"/>
    <w:rsid w:val="00CE7431"/>
    <w:rsid w:val="00CF232C"/>
    <w:rsid w:val="00D12845"/>
    <w:rsid w:val="00D14084"/>
    <w:rsid w:val="00D21877"/>
    <w:rsid w:val="00D4028D"/>
    <w:rsid w:val="00D74B21"/>
    <w:rsid w:val="00D75B1E"/>
    <w:rsid w:val="00D81F9C"/>
    <w:rsid w:val="00D85E80"/>
    <w:rsid w:val="00DA6144"/>
    <w:rsid w:val="00DB1BA0"/>
    <w:rsid w:val="00DE18B8"/>
    <w:rsid w:val="00DE32A8"/>
    <w:rsid w:val="00DE7CF5"/>
    <w:rsid w:val="00E0195D"/>
    <w:rsid w:val="00E11B48"/>
    <w:rsid w:val="00EA0299"/>
    <w:rsid w:val="00EA3E7C"/>
    <w:rsid w:val="00EC6E22"/>
    <w:rsid w:val="00EE2BC7"/>
    <w:rsid w:val="00EE65B7"/>
    <w:rsid w:val="00EF3E7E"/>
    <w:rsid w:val="00EF4940"/>
    <w:rsid w:val="00F1536C"/>
    <w:rsid w:val="00F16CDD"/>
    <w:rsid w:val="00F222F4"/>
    <w:rsid w:val="00F32D03"/>
    <w:rsid w:val="00F43BA5"/>
    <w:rsid w:val="00F6048D"/>
    <w:rsid w:val="00F605CB"/>
    <w:rsid w:val="00F71443"/>
    <w:rsid w:val="00FB2F97"/>
    <w:rsid w:val="00FB3AC2"/>
    <w:rsid w:val="00FB773D"/>
    <w:rsid w:val="00FC6B29"/>
    <w:rsid w:val="00FC7DF0"/>
    <w:rsid w:val="00FD346E"/>
    <w:rsid w:val="00FF0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3FC83"/>
  <w15:chartTrackingRefBased/>
  <w15:docId w15:val="{E83D17B6-DD92-4D9C-A66E-8F33C69A6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7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2E9"/>
  </w:style>
  <w:style w:type="paragraph" w:styleId="Footer">
    <w:name w:val="footer"/>
    <w:basedOn w:val="Normal"/>
    <w:link w:val="FooterChar"/>
    <w:uiPriority w:val="99"/>
    <w:unhideWhenUsed/>
    <w:rsid w:val="004E7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2E9"/>
  </w:style>
  <w:style w:type="paragraph" w:styleId="NormalWeb">
    <w:name w:val="Normal (Web)"/>
    <w:basedOn w:val="Normal"/>
    <w:uiPriority w:val="99"/>
    <w:semiHidden/>
    <w:unhideWhenUsed/>
    <w:rsid w:val="00AB430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6989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1178</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  250</cp:lastModifiedBy>
  <cp:revision>3</cp:revision>
  <dcterms:created xsi:type="dcterms:W3CDTF">2020-06-25T19:51:00Z</dcterms:created>
  <dcterms:modified xsi:type="dcterms:W3CDTF">2020-06-25T21:38:00Z</dcterms:modified>
</cp:coreProperties>
</file>